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677" w:rsidRDefault="008E567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2D5768" wp14:editId="047F053B">
                <wp:simplePos x="0" y="0"/>
                <wp:positionH relativeFrom="column">
                  <wp:posOffset>509270</wp:posOffset>
                </wp:positionH>
                <wp:positionV relativeFrom="paragraph">
                  <wp:posOffset>-356235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E5677" w:rsidRPr="008E5677" w:rsidRDefault="008E5677" w:rsidP="008E5677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A2 Psychology checklist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0.1pt;margin-top:-28.0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" filled="f" stroked="f">
                <v:fill o:detectmouseclick="t"/>
                <v:textbox style="mso-fit-shape-to-text:t">
                  <w:txbxContent>
                    <w:p w:rsidR="008E5677" w:rsidRPr="008E5677" w:rsidRDefault="008E5677" w:rsidP="008E5677">
                      <w:pPr>
                        <w:jc w:val="center"/>
                        <w:rPr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A2 Psychology checklist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36"/>
        <w:gridCol w:w="602"/>
        <w:gridCol w:w="602"/>
        <w:gridCol w:w="602"/>
      </w:tblGrid>
      <w:tr w:rsidR="008E5677" w:rsidTr="008E5677">
        <w:tc>
          <w:tcPr>
            <w:tcW w:w="7621" w:type="dxa"/>
          </w:tcPr>
          <w:p w:rsidR="008E5677" w:rsidRPr="008E5677" w:rsidRDefault="008E5677">
            <w:pPr>
              <w:rPr>
                <w:b/>
              </w:rPr>
            </w:pPr>
            <w:r w:rsidRPr="008E5677">
              <w:rPr>
                <w:b/>
              </w:rPr>
              <w:t>Forensic Psychology</w:t>
            </w:r>
          </w:p>
        </w:tc>
        <w:tc>
          <w:tcPr>
            <w:tcW w:w="567" w:type="dxa"/>
          </w:tcPr>
          <w:p w:rsidR="008E5677" w:rsidRDefault="008E5677">
            <w:r>
              <w:t>R</w:t>
            </w:r>
            <w:r w:rsidR="00692AF7">
              <w:t>AG</w:t>
            </w:r>
          </w:p>
        </w:tc>
        <w:tc>
          <w:tcPr>
            <w:tcW w:w="567" w:type="dxa"/>
          </w:tcPr>
          <w:p w:rsidR="008E5677" w:rsidRDefault="00692AF7">
            <w:r>
              <w:t>R</w:t>
            </w:r>
            <w:r w:rsidR="008E5677">
              <w:t>A</w:t>
            </w:r>
            <w:r>
              <w:t>G</w:t>
            </w:r>
          </w:p>
        </w:tc>
        <w:tc>
          <w:tcPr>
            <w:tcW w:w="487" w:type="dxa"/>
          </w:tcPr>
          <w:p w:rsidR="008E5677" w:rsidRDefault="00692AF7">
            <w:r>
              <w:t>RA</w:t>
            </w:r>
            <w:bookmarkStart w:id="0" w:name="_GoBack"/>
            <w:bookmarkEnd w:id="0"/>
            <w:r w:rsidR="008E5677">
              <w:t>G</w:t>
            </w:r>
          </w:p>
        </w:tc>
      </w:tr>
      <w:tr w:rsidR="008E5677" w:rsidTr="008E5677">
        <w:tc>
          <w:tcPr>
            <w:tcW w:w="7621" w:type="dxa"/>
          </w:tcPr>
          <w:p w:rsidR="008E5677" w:rsidRPr="008E5677" w:rsidRDefault="008E5677" w:rsidP="008E5677">
            <w:pPr>
              <w:pStyle w:val="NoSpacing"/>
              <w:rPr>
                <w:lang w:eastAsia="en-GB"/>
              </w:rPr>
            </w:pPr>
            <w:r w:rsidRPr="008E5677">
              <w:rPr>
                <w:lang w:eastAsia="en-GB"/>
              </w:rPr>
              <w:t>Problems in defining crime. Ways of measuring crime, including official statistics, victim surveys and offender surveys.</w:t>
            </w:r>
          </w:p>
        </w:tc>
        <w:tc>
          <w:tcPr>
            <w:tcW w:w="567" w:type="dxa"/>
          </w:tcPr>
          <w:p w:rsidR="008E5677" w:rsidRDefault="008E5677"/>
        </w:tc>
        <w:tc>
          <w:tcPr>
            <w:tcW w:w="567" w:type="dxa"/>
          </w:tcPr>
          <w:p w:rsidR="008E5677" w:rsidRDefault="008E5677"/>
        </w:tc>
        <w:tc>
          <w:tcPr>
            <w:tcW w:w="487" w:type="dxa"/>
          </w:tcPr>
          <w:p w:rsidR="008E5677" w:rsidRDefault="008E5677"/>
        </w:tc>
      </w:tr>
      <w:tr w:rsidR="008E5677" w:rsidTr="008E5677">
        <w:tc>
          <w:tcPr>
            <w:tcW w:w="7621" w:type="dxa"/>
          </w:tcPr>
          <w:p w:rsidR="008E5677" w:rsidRPr="008E5677" w:rsidRDefault="008E5677" w:rsidP="008E5677">
            <w:pPr>
              <w:pStyle w:val="NoSpacing"/>
              <w:rPr>
                <w:lang w:eastAsia="en-GB"/>
              </w:rPr>
            </w:pPr>
            <w:r w:rsidRPr="008E5677">
              <w:rPr>
                <w:lang w:eastAsia="en-GB"/>
              </w:rPr>
              <w:t>Offender profiling: the top-down approach, including organised and disorganised types of offender; the bottom-up approach, including investigative Psychology; geographical profiling.</w:t>
            </w:r>
          </w:p>
        </w:tc>
        <w:tc>
          <w:tcPr>
            <w:tcW w:w="567" w:type="dxa"/>
          </w:tcPr>
          <w:p w:rsidR="008E5677" w:rsidRDefault="008E5677"/>
        </w:tc>
        <w:tc>
          <w:tcPr>
            <w:tcW w:w="567" w:type="dxa"/>
          </w:tcPr>
          <w:p w:rsidR="008E5677" w:rsidRDefault="008E5677"/>
        </w:tc>
        <w:tc>
          <w:tcPr>
            <w:tcW w:w="487" w:type="dxa"/>
          </w:tcPr>
          <w:p w:rsidR="008E5677" w:rsidRDefault="008E5677"/>
        </w:tc>
      </w:tr>
      <w:tr w:rsidR="008E5677" w:rsidTr="008E5677">
        <w:tc>
          <w:tcPr>
            <w:tcW w:w="7621" w:type="dxa"/>
          </w:tcPr>
          <w:p w:rsidR="008E5677" w:rsidRPr="008E5677" w:rsidRDefault="008E5677" w:rsidP="008E5677">
            <w:pPr>
              <w:pStyle w:val="NoSpacing"/>
              <w:rPr>
                <w:lang w:eastAsia="en-GB"/>
              </w:rPr>
            </w:pPr>
            <w:r w:rsidRPr="008E5677">
              <w:rPr>
                <w:lang w:eastAsia="en-GB"/>
              </w:rPr>
              <w:t>Biological explanations of offending behaviour: an historical approach (atavistic form); genetics and neural explanations.</w:t>
            </w:r>
          </w:p>
        </w:tc>
        <w:tc>
          <w:tcPr>
            <w:tcW w:w="567" w:type="dxa"/>
          </w:tcPr>
          <w:p w:rsidR="008E5677" w:rsidRDefault="008E5677"/>
        </w:tc>
        <w:tc>
          <w:tcPr>
            <w:tcW w:w="567" w:type="dxa"/>
          </w:tcPr>
          <w:p w:rsidR="008E5677" w:rsidRDefault="008E5677"/>
        </w:tc>
        <w:tc>
          <w:tcPr>
            <w:tcW w:w="487" w:type="dxa"/>
          </w:tcPr>
          <w:p w:rsidR="008E5677" w:rsidRDefault="008E5677"/>
        </w:tc>
      </w:tr>
      <w:tr w:rsidR="008E5677" w:rsidTr="008E5677">
        <w:tc>
          <w:tcPr>
            <w:tcW w:w="7621" w:type="dxa"/>
          </w:tcPr>
          <w:p w:rsidR="008E5677" w:rsidRPr="008E5677" w:rsidRDefault="008E5677" w:rsidP="008E5677">
            <w:pPr>
              <w:pStyle w:val="NoSpacing"/>
              <w:rPr>
                <w:lang w:eastAsia="en-GB"/>
              </w:rPr>
            </w:pPr>
            <w:r w:rsidRPr="008E5677">
              <w:rPr>
                <w:lang w:eastAsia="en-GB"/>
              </w:rPr>
              <w:t xml:space="preserve">Psychological explanations of offending behaviour: Eysenck’s theory of the criminal personality; cognitive explanations; level of moral reasoning and cognitive distortions, including hostile attribution bias and </w:t>
            </w:r>
            <w:proofErr w:type="spellStart"/>
            <w:r w:rsidRPr="008E5677">
              <w:rPr>
                <w:lang w:eastAsia="en-GB"/>
              </w:rPr>
              <w:t>minimalisation</w:t>
            </w:r>
            <w:proofErr w:type="spellEnd"/>
            <w:r w:rsidRPr="008E5677">
              <w:rPr>
                <w:lang w:eastAsia="en-GB"/>
              </w:rPr>
              <w:t>; differential association theory; psychodynamic explanations.</w:t>
            </w:r>
          </w:p>
        </w:tc>
        <w:tc>
          <w:tcPr>
            <w:tcW w:w="567" w:type="dxa"/>
          </w:tcPr>
          <w:p w:rsidR="008E5677" w:rsidRDefault="008E5677"/>
        </w:tc>
        <w:tc>
          <w:tcPr>
            <w:tcW w:w="567" w:type="dxa"/>
          </w:tcPr>
          <w:p w:rsidR="008E5677" w:rsidRDefault="008E5677"/>
        </w:tc>
        <w:tc>
          <w:tcPr>
            <w:tcW w:w="487" w:type="dxa"/>
          </w:tcPr>
          <w:p w:rsidR="008E5677" w:rsidRDefault="008E5677"/>
        </w:tc>
      </w:tr>
      <w:tr w:rsidR="008E5677" w:rsidTr="008E5677">
        <w:tc>
          <w:tcPr>
            <w:tcW w:w="7621" w:type="dxa"/>
          </w:tcPr>
          <w:p w:rsidR="008E5677" w:rsidRDefault="008E5677" w:rsidP="008E5677">
            <w:pPr>
              <w:pStyle w:val="NoSpacing"/>
            </w:pPr>
            <w:r>
              <w:rPr>
                <w:shd w:val="clear" w:color="auto" w:fill="FFFFFF"/>
              </w:rPr>
              <w:t>Dealing with offending behaviour: the aims of custodial sentencing and the psychological effects of custodial sentencing. Recidivism. Behaviour modification in custody. Anger management and restorative justice programmes</w:t>
            </w:r>
          </w:p>
        </w:tc>
        <w:tc>
          <w:tcPr>
            <w:tcW w:w="567" w:type="dxa"/>
          </w:tcPr>
          <w:p w:rsidR="008E5677" w:rsidRDefault="008E5677"/>
        </w:tc>
        <w:tc>
          <w:tcPr>
            <w:tcW w:w="567" w:type="dxa"/>
          </w:tcPr>
          <w:p w:rsidR="008E5677" w:rsidRDefault="008E5677"/>
        </w:tc>
        <w:tc>
          <w:tcPr>
            <w:tcW w:w="487" w:type="dxa"/>
          </w:tcPr>
          <w:p w:rsidR="008E5677" w:rsidRDefault="008E5677"/>
        </w:tc>
      </w:tr>
      <w:tr w:rsidR="008E5677" w:rsidTr="008E5677">
        <w:tc>
          <w:tcPr>
            <w:tcW w:w="7621" w:type="dxa"/>
          </w:tcPr>
          <w:p w:rsidR="008E5677" w:rsidRPr="008E5677" w:rsidRDefault="008E5677">
            <w:pPr>
              <w:rPr>
                <w:b/>
              </w:rPr>
            </w:pPr>
            <w:r w:rsidRPr="008E5677">
              <w:rPr>
                <w:b/>
              </w:rPr>
              <w:t xml:space="preserve">Schizophrenia </w:t>
            </w:r>
          </w:p>
        </w:tc>
        <w:tc>
          <w:tcPr>
            <w:tcW w:w="567" w:type="dxa"/>
          </w:tcPr>
          <w:p w:rsidR="008E5677" w:rsidRDefault="008E5677"/>
        </w:tc>
        <w:tc>
          <w:tcPr>
            <w:tcW w:w="567" w:type="dxa"/>
          </w:tcPr>
          <w:p w:rsidR="008E5677" w:rsidRDefault="008E5677"/>
        </w:tc>
        <w:tc>
          <w:tcPr>
            <w:tcW w:w="487" w:type="dxa"/>
          </w:tcPr>
          <w:p w:rsidR="008E5677" w:rsidRDefault="008E5677"/>
        </w:tc>
      </w:tr>
      <w:tr w:rsidR="008E5677" w:rsidTr="008E5677">
        <w:tc>
          <w:tcPr>
            <w:tcW w:w="7621" w:type="dxa"/>
          </w:tcPr>
          <w:p w:rsidR="008E5677" w:rsidRDefault="008E5677" w:rsidP="008E5677">
            <w:pPr>
              <w:pStyle w:val="NoSpacing"/>
              <w:rPr>
                <w:lang w:eastAsia="en-GB"/>
              </w:rPr>
            </w:pPr>
            <w:r w:rsidRPr="008E5677">
              <w:rPr>
                <w:lang w:eastAsia="en-GB"/>
              </w:rPr>
              <w:t xml:space="preserve">Classification of schizophrenia. Positive symptoms of schizophrenia, including hallucinations and delusions. Negative symptoms of schizophrenia, including speech poverty and </w:t>
            </w:r>
            <w:proofErr w:type="spellStart"/>
            <w:r w:rsidRPr="008E5677">
              <w:rPr>
                <w:lang w:eastAsia="en-GB"/>
              </w:rPr>
              <w:t>avolition</w:t>
            </w:r>
            <w:proofErr w:type="spellEnd"/>
            <w:r w:rsidRPr="008E5677">
              <w:rPr>
                <w:lang w:eastAsia="en-GB"/>
              </w:rPr>
              <w:t>. Reliability and validity in diagnosis and classification of schizophrenia, including reference to co-morbidity, culture and gender bias and symptom overlap.</w:t>
            </w:r>
          </w:p>
        </w:tc>
        <w:tc>
          <w:tcPr>
            <w:tcW w:w="567" w:type="dxa"/>
          </w:tcPr>
          <w:p w:rsidR="008E5677" w:rsidRDefault="008E5677"/>
        </w:tc>
        <w:tc>
          <w:tcPr>
            <w:tcW w:w="567" w:type="dxa"/>
          </w:tcPr>
          <w:p w:rsidR="008E5677" w:rsidRDefault="008E5677"/>
        </w:tc>
        <w:tc>
          <w:tcPr>
            <w:tcW w:w="487" w:type="dxa"/>
          </w:tcPr>
          <w:p w:rsidR="008E5677" w:rsidRDefault="008E5677"/>
        </w:tc>
      </w:tr>
      <w:tr w:rsidR="008E5677" w:rsidTr="008E5677">
        <w:tc>
          <w:tcPr>
            <w:tcW w:w="7621" w:type="dxa"/>
          </w:tcPr>
          <w:p w:rsidR="008E5677" w:rsidRDefault="008E5677" w:rsidP="008E5677">
            <w:pPr>
              <w:pStyle w:val="NoSpacing"/>
            </w:pPr>
            <w:r>
              <w:rPr>
                <w:shd w:val="clear" w:color="auto" w:fill="FFFFFF"/>
              </w:rPr>
              <w:t>Biological explanations for schizophrenia: genetics, the dopamine hypothesis and neural correlates</w:t>
            </w:r>
          </w:p>
        </w:tc>
        <w:tc>
          <w:tcPr>
            <w:tcW w:w="567" w:type="dxa"/>
          </w:tcPr>
          <w:p w:rsidR="008E5677" w:rsidRDefault="008E5677"/>
        </w:tc>
        <w:tc>
          <w:tcPr>
            <w:tcW w:w="567" w:type="dxa"/>
          </w:tcPr>
          <w:p w:rsidR="008E5677" w:rsidRDefault="008E5677"/>
        </w:tc>
        <w:tc>
          <w:tcPr>
            <w:tcW w:w="487" w:type="dxa"/>
          </w:tcPr>
          <w:p w:rsidR="008E5677" w:rsidRDefault="008E5677"/>
        </w:tc>
      </w:tr>
      <w:tr w:rsidR="008E5677" w:rsidTr="008E5677">
        <w:tc>
          <w:tcPr>
            <w:tcW w:w="7621" w:type="dxa"/>
          </w:tcPr>
          <w:p w:rsidR="008E5677" w:rsidRDefault="008E5677" w:rsidP="008E5677">
            <w:pPr>
              <w:pStyle w:val="NoSpacing"/>
            </w:pPr>
            <w:r>
              <w:rPr>
                <w:shd w:val="clear" w:color="auto" w:fill="FFFFFF"/>
              </w:rPr>
              <w:t>Psychological explanations for schizophrenia: family dysfunction and cognitive explanations, including dysfunctional thought processing</w:t>
            </w:r>
          </w:p>
        </w:tc>
        <w:tc>
          <w:tcPr>
            <w:tcW w:w="567" w:type="dxa"/>
          </w:tcPr>
          <w:p w:rsidR="008E5677" w:rsidRDefault="008E5677"/>
        </w:tc>
        <w:tc>
          <w:tcPr>
            <w:tcW w:w="567" w:type="dxa"/>
          </w:tcPr>
          <w:p w:rsidR="008E5677" w:rsidRDefault="008E5677"/>
        </w:tc>
        <w:tc>
          <w:tcPr>
            <w:tcW w:w="487" w:type="dxa"/>
          </w:tcPr>
          <w:p w:rsidR="008E5677" w:rsidRDefault="008E5677"/>
        </w:tc>
      </w:tr>
      <w:tr w:rsidR="008E5677" w:rsidTr="008E5677">
        <w:tc>
          <w:tcPr>
            <w:tcW w:w="7621" w:type="dxa"/>
          </w:tcPr>
          <w:p w:rsidR="008E5677" w:rsidRDefault="008E5677" w:rsidP="008E5677">
            <w:pPr>
              <w:pStyle w:val="NoSpacing"/>
            </w:pPr>
            <w:r>
              <w:rPr>
                <w:shd w:val="clear" w:color="auto" w:fill="FFFFFF"/>
              </w:rPr>
              <w:t>Drug therapy: typical and atypical antipsychotics</w:t>
            </w:r>
          </w:p>
        </w:tc>
        <w:tc>
          <w:tcPr>
            <w:tcW w:w="567" w:type="dxa"/>
          </w:tcPr>
          <w:p w:rsidR="008E5677" w:rsidRDefault="008E5677"/>
        </w:tc>
        <w:tc>
          <w:tcPr>
            <w:tcW w:w="567" w:type="dxa"/>
          </w:tcPr>
          <w:p w:rsidR="008E5677" w:rsidRDefault="008E5677"/>
        </w:tc>
        <w:tc>
          <w:tcPr>
            <w:tcW w:w="487" w:type="dxa"/>
          </w:tcPr>
          <w:p w:rsidR="008E5677" w:rsidRDefault="008E5677"/>
        </w:tc>
      </w:tr>
      <w:tr w:rsidR="008E5677" w:rsidTr="008E5677">
        <w:tc>
          <w:tcPr>
            <w:tcW w:w="7621" w:type="dxa"/>
          </w:tcPr>
          <w:p w:rsidR="008E5677" w:rsidRDefault="008E5677" w:rsidP="008E5677">
            <w:pPr>
              <w:pStyle w:val="NoSpacing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Cognitive behaviour therapy and family therapy as used in the treatment of schizophrenia. Token economies as used in the management of schizophrenia</w:t>
            </w:r>
          </w:p>
        </w:tc>
        <w:tc>
          <w:tcPr>
            <w:tcW w:w="567" w:type="dxa"/>
          </w:tcPr>
          <w:p w:rsidR="008E5677" w:rsidRDefault="008E5677"/>
        </w:tc>
        <w:tc>
          <w:tcPr>
            <w:tcW w:w="567" w:type="dxa"/>
          </w:tcPr>
          <w:p w:rsidR="008E5677" w:rsidRDefault="008E5677"/>
        </w:tc>
        <w:tc>
          <w:tcPr>
            <w:tcW w:w="487" w:type="dxa"/>
          </w:tcPr>
          <w:p w:rsidR="008E5677" w:rsidRDefault="008E5677"/>
        </w:tc>
      </w:tr>
      <w:tr w:rsidR="008E5677" w:rsidTr="008E5677">
        <w:tc>
          <w:tcPr>
            <w:tcW w:w="7621" w:type="dxa"/>
          </w:tcPr>
          <w:p w:rsidR="008E5677" w:rsidRDefault="008E5677" w:rsidP="008E5677">
            <w:pPr>
              <w:pStyle w:val="NoSpacing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The importance of an interactionist approach in explaining and treating schizophrenia; the diathesis-stress model</w:t>
            </w:r>
          </w:p>
        </w:tc>
        <w:tc>
          <w:tcPr>
            <w:tcW w:w="567" w:type="dxa"/>
          </w:tcPr>
          <w:p w:rsidR="008E5677" w:rsidRDefault="008E5677"/>
        </w:tc>
        <w:tc>
          <w:tcPr>
            <w:tcW w:w="567" w:type="dxa"/>
          </w:tcPr>
          <w:p w:rsidR="008E5677" w:rsidRDefault="008E5677"/>
        </w:tc>
        <w:tc>
          <w:tcPr>
            <w:tcW w:w="487" w:type="dxa"/>
          </w:tcPr>
          <w:p w:rsidR="008E5677" w:rsidRDefault="008E5677"/>
        </w:tc>
      </w:tr>
      <w:tr w:rsidR="008E5677" w:rsidTr="008E5677">
        <w:tc>
          <w:tcPr>
            <w:tcW w:w="7621" w:type="dxa"/>
          </w:tcPr>
          <w:p w:rsidR="008E5677" w:rsidRPr="008E5677" w:rsidRDefault="008E5677" w:rsidP="008E5677">
            <w:pPr>
              <w:pStyle w:val="NoSpacing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Relationships</w:t>
            </w:r>
          </w:p>
        </w:tc>
        <w:tc>
          <w:tcPr>
            <w:tcW w:w="567" w:type="dxa"/>
          </w:tcPr>
          <w:p w:rsidR="008E5677" w:rsidRDefault="008E5677"/>
        </w:tc>
        <w:tc>
          <w:tcPr>
            <w:tcW w:w="567" w:type="dxa"/>
          </w:tcPr>
          <w:p w:rsidR="008E5677" w:rsidRDefault="008E5677"/>
        </w:tc>
        <w:tc>
          <w:tcPr>
            <w:tcW w:w="487" w:type="dxa"/>
          </w:tcPr>
          <w:p w:rsidR="008E5677" w:rsidRDefault="008E5677"/>
        </w:tc>
      </w:tr>
      <w:tr w:rsidR="008E5677" w:rsidTr="008E5677">
        <w:tc>
          <w:tcPr>
            <w:tcW w:w="7621" w:type="dxa"/>
          </w:tcPr>
          <w:p w:rsidR="008E5677" w:rsidRPr="008E5677" w:rsidRDefault="008E5677" w:rsidP="008E5677">
            <w:pPr>
              <w:pStyle w:val="NoSpacing"/>
            </w:pPr>
            <w:r w:rsidRPr="008E5677">
              <w:t>The evolutionary explanations for partner preferences, including the relationship between sexual selection and human reproductive behaviour</w:t>
            </w:r>
          </w:p>
        </w:tc>
        <w:tc>
          <w:tcPr>
            <w:tcW w:w="567" w:type="dxa"/>
          </w:tcPr>
          <w:p w:rsidR="008E5677" w:rsidRDefault="008E5677"/>
        </w:tc>
        <w:tc>
          <w:tcPr>
            <w:tcW w:w="567" w:type="dxa"/>
          </w:tcPr>
          <w:p w:rsidR="008E5677" w:rsidRDefault="008E5677"/>
        </w:tc>
        <w:tc>
          <w:tcPr>
            <w:tcW w:w="487" w:type="dxa"/>
          </w:tcPr>
          <w:p w:rsidR="008E5677" w:rsidRDefault="008E5677"/>
        </w:tc>
      </w:tr>
      <w:tr w:rsidR="008E5677" w:rsidTr="008E5677">
        <w:tc>
          <w:tcPr>
            <w:tcW w:w="7621" w:type="dxa"/>
          </w:tcPr>
          <w:p w:rsidR="008E5677" w:rsidRPr="008E5677" w:rsidRDefault="008E5677" w:rsidP="008E5677">
            <w:pPr>
              <w:pStyle w:val="NoSpacing"/>
            </w:pPr>
            <w:r w:rsidRPr="008E5677">
              <w:t>Factors affecting attraction in romantic relationships: self-disclosure; physical attractiveness, including the matching hypothesis; filter theory, including social demography, similarity in attitudes and complementarity</w:t>
            </w:r>
          </w:p>
        </w:tc>
        <w:tc>
          <w:tcPr>
            <w:tcW w:w="567" w:type="dxa"/>
          </w:tcPr>
          <w:p w:rsidR="008E5677" w:rsidRDefault="008E5677"/>
        </w:tc>
        <w:tc>
          <w:tcPr>
            <w:tcW w:w="567" w:type="dxa"/>
          </w:tcPr>
          <w:p w:rsidR="008E5677" w:rsidRDefault="008E5677"/>
        </w:tc>
        <w:tc>
          <w:tcPr>
            <w:tcW w:w="487" w:type="dxa"/>
          </w:tcPr>
          <w:p w:rsidR="008E5677" w:rsidRDefault="008E5677"/>
        </w:tc>
      </w:tr>
      <w:tr w:rsidR="008E5677" w:rsidTr="008E5677">
        <w:tc>
          <w:tcPr>
            <w:tcW w:w="7621" w:type="dxa"/>
          </w:tcPr>
          <w:p w:rsidR="008E5677" w:rsidRPr="008E5677" w:rsidRDefault="008E5677" w:rsidP="008E5677">
            <w:pPr>
              <w:pStyle w:val="NoSpacing"/>
            </w:pPr>
            <w:r w:rsidRPr="008E5677">
              <w:t xml:space="preserve">Theories of romantic relationships: social exchange theory, equity theory and </w:t>
            </w:r>
            <w:proofErr w:type="spellStart"/>
            <w:r w:rsidRPr="008E5677">
              <w:t>Rusbult’s</w:t>
            </w:r>
            <w:proofErr w:type="spellEnd"/>
            <w:r w:rsidRPr="008E5677">
              <w:t xml:space="preserve"> investment model of commitment, satisfaction, comparison with alternatives and investment. Duck’s phase model of relationship breakdown: intra-psychic, dyadic, social and grave dressing phases</w:t>
            </w:r>
          </w:p>
        </w:tc>
        <w:tc>
          <w:tcPr>
            <w:tcW w:w="567" w:type="dxa"/>
          </w:tcPr>
          <w:p w:rsidR="008E5677" w:rsidRDefault="008E5677"/>
        </w:tc>
        <w:tc>
          <w:tcPr>
            <w:tcW w:w="567" w:type="dxa"/>
          </w:tcPr>
          <w:p w:rsidR="008E5677" w:rsidRDefault="008E5677"/>
        </w:tc>
        <w:tc>
          <w:tcPr>
            <w:tcW w:w="487" w:type="dxa"/>
          </w:tcPr>
          <w:p w:rsidR="008E5677" w:rsidRDefault="008E5677"/>
        </w:tc>
      </w:tr>
      <w:tr w:rsidR="008E5677" w:rsidTr="008E5677">
        <w:tc>
          <w:tcPr>
            <w:tcW w:w="7621" w:type="dxa"/>
          </w:tcPr>
          <w:p w:rsidR="008E5677" w:rsidRPr="008E5677" w:rsidRDefault="008E5677" w:rsidP="008E5677">
            <w:pPr>
              <w:pStyle w:val="NoSpacing"/>
            </w:pPr>
            <w:r w:rsidRPr="008E5677">
              <w:t>Virtual relationships in social media: self-disclosure in virtual relationships; effects of absence of gating on the nature of virtual relationships</w:t>
            </w:r>
          </w:p>
        </w:tc>
        <w:tc>
          <w:tcPr>
            <w:tcW w:w="567" w:type="dxa"/>
          </w:tcPr>
          <w:p w:rsidR="008E5677" w:rsidRDefault="008E5677"/>
        </w:tc>
        <w:tc>
          <w:tcPr>
            <w:tcW w:w="567" w:type="dxa"/>
          </w:tcPr>
          <w:p w:rsidR="008E5677" w:rsidRDefault="008E5677"/>
        </w:tc>
        <w:tc>
          <w:tcPr>
            <w:tcW w:w="487" w:type="dxa"/>
          </w:tcPr>
          <w:p w:rsidR="008E5677" w:rsidRDefault="008E5677"/>
        </w:tc>
      </w:tr>
      <w:tr w:rsidR="008E5677" w:rsidTr="008E5677">
        <w:tc>
          <w:tcPr>
            <w:tcW w:w="7621" w:type="dxa"/>
          </w:tcPr>
          <w:p w:rsidR="008E5677" w:rsidRPr="008E5677" w:rsidRDefault="008E5677" w:rsidP="008E5677">
            <w:pPr>
              <w:pStyle w:val="NoSpacing"/>
            </w:pPr>
            <w:proofErr w:type="spellStart"/>
            <w:r w:rsidRPr="008E5677">
              <w:t>Parasocial</w:t>
            </w:r>
            <w:proofErr w:type="spellEnd"/>
            <w:r w:rsidRPr="008E5677">
              <w:t xml:space="preserve"> relationships: levels of </w:t>
            </w:r>
            <w:proofErr w:type="spellStart"/>
            <w:r w:rsidRPr="008E5677">
              <w:t>parasocial</w:t>
            </w:r>
            <w:proofErr w:type="spellEnd"/>
            <w:r w:rsidRPr="008E5677">
              <w:t xml:space="preserve"> relationships, the absorption addiction model and the attachment theory explanation</w:t>
            </w:r>
          </w:p>
        </w:tc>
        <w:tc>
          <w:tcPr>
            <w:tcW w:w="567" w:type="dxa"/>
          </w:tcPr>
          <w:p w:rsidR="008E5677" w:rsidRDefault="008E5677"/>
        </w:tc>
        <w:tc>
          <w:tcPr>
            <w:tcW w:w="567" w:type="dxa"/>
          </w:tcPr>
          <w:p w:rsidR="008E5677" w:rsidRDefault="008E5677"/>
        </w:tc>
        <w:tc>
          <w:tcPr>
            <w:tcW w:w="487" w:type="dxa"/>
          </w:tcPr>
          <w:p w:rsidR="008E5677" w:rsidRDefault="008E5677"/>
        </w:tc>
      </w:tr>
      <w:tr w:rsidR="008E5677" w:rsidTr="008E5677">
        <w:tc>
          <w:tcPr>
            <w:tcW w:w="7621" w:type="dxa"/>
          </w:tcPr>
          <w:p w:rsidR="008E5677" w:rsidRPr="00FB4857" w:rsidRDefault="00FB4857" w:rsidP="008E5677">
            <w:pPr>
              <w:pStyle w:val="NoSpacing"/>
              <w:rPr>
                <w:b/>
              </w:rPr>
            </w:pPr>
            <w:r w:rsidRPr="00FB4857">
              <w:rPr>
                <w:b/>
              </w:rPr>
              <w:t>Issues and debates</w:t>
            </w:r>
          </w:p>
        </w:tc>
        <w:tc>
          <w:tcPr>
            <w:tcW w:w="567" w:type="dxa"/>
          </w:tcPr>
          <w:p w:rsidR="008E5677" w:rsidRDefault="008E5677"/>
        </w:tc>
        <w:tc>
          <w:tcPr>
            <w:tcW w:w="567" w:type="dxa"/>
          </w:tcPr>
          <w:p w:rsidR="008E5677" w:rsidRDefault="008E5677"/>
        </w:tc>
        <w:tc>
          <w:tcPr>
            <w:tcW w:w="487" w:type="dxa"/>
          </w:tcPr>
          <w:p w:rsidR="008E5677" w:rsidRDefault="008E5677"/>
        </w:tc>
      </w:tr>
      <w:tr w:rsidR="00FB4857" w:rsidTr="008E5677">
        <w:tc>
          <w:tcPr>
            <w:tcW w:w="7621" w:type="dxa"/>
          </w:tcPr>
          <w:p w:rsidR="00FB4857" w:rsidRDefault="00FB4857" w:rsidP="00FB4857">
            <w:pPr>
              <w:pStyle w:val="NoSpacing"/>
              <w:rPr>
                <w:lang w:eastAsia="en-GB"/>
              </w:rPr>
            </w:pPr>
            <w:r w:rsidRPr="00FB4857">
              <w:rPr>
                <w:lang w:eastAsia="en-GB"/>
              </w:rPr>
              <w:t xml:space="preserve">Gender and culture in Psychology – universality and bias. Gender bias including </w:t>
            </w:r>
            <w:proofErr w:type="spellStart"/>
            <w:r w:rsidRPr="00FB4857">
              <w:rPr>
                <w:lang w:eastAsia="en-GB"/>
              </w:rPr>
              <w:t>androcentrism</w:t>
            </w:r>
            <w:proofErr w:type="spellEnd"/>
            <w:r w:rsidRPr="00FB4857">
              <w:rPr>
                <w:lang w:eastAsia="en-GB"/>
              </w:rPr>
              <w:t xml:space="preserve"> and alpha and beta bias; cultural bias, including ethnocentrism and cultural relativism.</w:t>
            </w:r>
          </w:p>
        </w:tc>
        <w:tc>
          <w:tcPr>
            <w:tcW w:w="567" w:type="dxa"/>
          </w:tcPr>
          <w:p w:rsidR="00FB4857" w:rsidRDefault="00FB4857"/>
        </w:tc>
        <w:tc>
          <w:tcPr>
            <w:tcW w:w="567" w:type="dxa"/>
          </w:tcPr>
          <w:p w:rsidR="00FB4857" w:rsidRDefault="00FB4857"/>
        </w:tc>
        <w:tc>
          <w:tcPr>
            <w:tcW w:w="487" w:type="dxa"/>
          </w:tcPr>
          <w:p w:rsidR="00FB4857" w:rsidRDefault="00FB4857"/>
        </w:tc>
      </w:tr>
      <w:tr w:rsidR="00FB4857" w:rsidTr="008E5677">
        <w:tc>
          <w:tcPr>
            <w:tcW w:w="7621" w:type="dxa"/>
          </w:tcPr>
          <w:p w:rsidR="00FB4857" w:rsidRPr="00FB4857" w:rsidRDefault="00FB4857" w:rsidP="00FB4857">
            <w:pPr>
              <w:pStyle w:val="NoSpacing"/>
              <w:rPr>
                <w:lang w:eastAsia="en-GB"/>
              </w:rPr>
            </w:pPr>
            <w:r>
              <w:rPr>
                <w:shd w:val="clear" w:color="auto" w:fill="FFFFFF"/>
              </w:rPr>
              <w:t xml:space="preserve">Free will and determinism: hard determinism and soft determinism; biological, </w:t>
            </w:r>
            <w:r>
              <w:rPr>
                <w:shd w:val="clear" w:color="auto" w:fill="FFFFFF"/>
              </w:rPr>
              <w:lastRenderedPageBreak/>
              <w:t>environmental and psychic determinism. The scientific emphasis on causal explanations</w:t>
            </w:r>
          </w:p>
        </w:tc>
        <w:tc>
          <w:tcPr>
            <w:tcW w:w="567" w:type="dxa"/>
          </w:tcPr>
          <w:p w:rsidR="00FB4857" w:rsidRDefault="00FB4857"/>
        </w:tc>
        <w:tc>
          <w:tcPr>
            <w:tcW w:w="567" w:type="dxa"/>
          </w:tcPr>
          <w:p w:rsidR="00FB4857" w:rsidRDefault="00FB4857"/>
        </w:tc>
        <w:tc>
          <w:tcPr>
            <w:tcW w:w="487" w:type="dxa"/>
          </w:tcPr>
          <w:p w:rsidR="00FB4857" w:rsidRDefault="00FB4857"/>
        </w:tc>
      </w:tr>
      <w:tr w:rsidR="00FB4857" w:rsidTr="008E5677">
        <w:tc>
          <w:tcPr>
            <w:tcW w:w="7621" w:type="dxa"/>
          </w:tcPr>
          <w:p w:rsidR="00FB4857" w:rsidRPr="00FB4857" w:rsidRDefault="00FB4857" w:rsidP="00FB4857">
            <w:pPr>
              <w:pStyle w:val="NoSpacing"/>
              <w:rPr>
                <w:lang w:eastAsia="en-GB"/>
              </w:rPr>
            </w:pPr>
            <w:r>
              <w:rPr>
                <w:shd w:val="clear" w:color="auto" w:fill="FFFFFF"/>
              </w:rPr>
              <w:lastRenderedPageBreak/>
              <w:t>The nature-nurture debate: the relative importance of heredity and environment in determining behaviour; the interactionist approach</w:t>
            </w:r>
          </w:p>
        </w:tc>
        <w:tc>
          <w:tcPr>
            <w:tcW w:w="567" w:type="dxa"/>
          </w:tcPr>
          <w:p w:rsidR="00FB4857" w:rsidRDefault="00FB4857"/>
        </w:tc>
        <w:tc>
          <w:tcPr>
            <w:tcW w:w="567" w:type="dxa"/>
          </w:tcPr>
          <w:p w:rsidR="00FB4857" w:rsidRDefault="00FB4857"/>
        </w:tc>
        <w:tc>
          <w:tcPr>
            <w:tcW w:w="487" w:type="dxa"/>
          </w:tcPr>
          <w:p w:rsidR="00FB4857" w:rsidRDefault="00FB4857"/>
        </w:tc>
      </w:tr>
      <w:tr w:rsidR="00FB4857" w:rsidTr="008E5677">
        <w:tc>
          <w:tcPr>
            <w:tcW w:w="7621" w:type="dxa"/>
          </w:tcPr>
          <w:p w:rsidR="00FB4857" w:rsidRPr="00FB4857" w:rsidRDefault="00FB4857" w:rsidP="00FB4857">
            <w:pPr>
              <w:pStyle w:val="NoSpacing"/>
              <w:rPr>
                <w:lang w:eastAsia="en-GB"/>
              </w:rPr>
            </w:pPr>
            <w:r>
              <w:rPr>
                <w:shd w:val="clear" w:color="auto" w:fill="FFFFFF"/>
              </w:rPr>
              <w:t>Holism and reductionism: levels of explanation in Psychology. Biological reductionism and environmental (stimulus-response) reductionism</w:t>
            </w:r>
          </w:p>
        </w:tc>
        <w:tc>
          <w:tcPr>
            <w:tcW w:w="567" w:type="dxa"/>
          </w:tcPr>
          <w:p w:rsidR="00FB4857" w:rsidRDefault="00FB4857"/>
        </w:tc>
        <w:tc>
          <w:tcPr>
            <w:tcW w:w="567" w:type="dxa"/>
          </w:tcPr>
          <w:p w:rsidR="00FB4857" w:rsidRDefault="00FB4857"/>
        </w:tc>
        <w:tc>
          <w:tcPr>
            <w:tcW w:w="487" w:type="dxa"/>
          </w:tcPr>
          <w:p w:rsidR="00FB4857" w:rsidRDefault="00FB4857"/>
        </w:tc>
      </w:tr>
      <w:tr w:rsidR="00FB4857" w:rsidTr="008E5677">
        <w:tc>
          <w:tcPr>
            <w:tcW w:w="7621" w:type="dxa"/>
          </w:tcPr>
          <w:p w:rsidR="00FB4857" w:rsidRDefault="00FB4857" w:rsidP="00FB4857">
            <w:pPr>
              <w:pStyle w:val="NoSpacing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Idiographic and nomothetic approaches to psychological investigation</w:t>
            </w:r>
          </w:p>
        </w:tc>
        <w:tc>
          <w:tcPr>
            <w:tcW w:w="567" w:type="dxa"/>
          </w:tcPr>
          <w:p w:rsidR="00FB4857" w:rsidRDefault="00FB4857"/>
        </w:tc>
        <w:tc>
          <w:tcPr>
            <w:tcW w:w="567" w:type="dxa"/>
          </w:tcPr>
          <w:p w:rsidR="00FB4857" w:rsidRDefault="00FB4857"/>
        </w:tc>
        <w:tc>
          <w:tcPr>
            <w:tcW w:w="487" w:type="dxa"/>
          </w:tcPr>
          <w:p w:rsidR="00FB4857" w:rsidRDefault="00FB4857"/>
        </w:tc>
      </w:tr>
      <w:tr w:rsidR="00FB4857" w:rsidTr="008E5677">
        <w:tc>
          <w:tcPr>
            <w:tcW w:w="7621" w:type="dxa"/>
          </w:tcPr>
          <w:p w:rsidR="00FB4857" w:rsidRDefault="00FB4857" w:rsidP="00FB4857">
            <w:pPr>
              <w:pStyle w:val="NoSpacing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Ethical implications of research studies and theory, including reference to social sensitivity</w:t>
            </w:r>
          </w:p>
        </w:tc>
        <w:tc>
          <w:tcPr>
            <w:tcW w:w="567" w:type="dxa"/>
          </w:tcPr>
          <w:p w:rsidR="00FB4857" w:rsidRDefault="00FB4857"/>
        </w:tc>
        <w:tc>
          <w:tcPr>
            <w:tcW w:w="567" w:type="dxa"/>
          </w:tcPr>
          <w:p w:rsidR="00FB4857" w:rsidRDefault="00FB4857"/>
        </w:tc>
        <w:tc>
          <w:tcPr>
            <w:tcW w:w="487" w:type="dxa"/>
          </w:tcPr>
          <w:p w:rsidR="00FB4857" w:rsidRDefault="00FB4857"/>
        </w:tc>
      </w:tr>
      <w:tr w:rsidR="00FB4857" w:rsidTr="008E5677">
        <w:tc>
          <w:tcPr>
            <w:tcW w:w="7621" w:type="dxa"/>
          </w:tcPr>
          <w:p w:rsidR="00FB4857" w:rsidRPr="00FB4857" w:rsidRDefault="00FB4857" w:rsidP="00FB4857">
            <w:pPr>
              <w:pStyle w:val="NoSpacing"/>
              <w:rPr>
                <w:b/>
                <w:shd w:val="clear" w:color="auto" w:fill="FFFFFF"/>
              </w:rPr>
            </w:pPr>
            <w:r w:rsidRPr="00FB4857">
              <w:rPr>
                <w:b/>
                <w:shd w:val="clear" w:color="auto" w:fill="FFFFFF"/>
              </w:rPr>
              <w:t xml:space="preserve">Approaches </w:t>
            </w:r>
          </w:p>
        </w:tc>
        <w:tc>
          <w:tcPr>
            <w:tcW w:w="567" w:type="dxa"/>
          </w:tcPr>
          <w:p w:rsidR="00FB4857" w:rsidRDefault="00FB4857"/>
        </w:tc>
        <w:tc>
          <w:tcPr>
            <w:tcW w:w="567" w:type="dxa"/>
          </w:tcPr>
          <w:p w:rsidR="00FB4857" w:rsidRDefault="00FB4857"/>
        </w:tc>
        <w:tc>
          <w:tcPr>
            <w:tcW w:w="487" w:type="dxa"/>
          </w:tcPr>
          <w:p w:rsidR="00FB4857" w:rsidRDefault="00FB4857"/>
        </w:tc>
      </w:tr>
      <w:tr w:rsidR="00FB4857" w:rsidTr="008E5677">
        <w:tc>
          <w:tcPr>
            <w:tcW w:w="7621" w:type="dxa"/>
          </w:tcPr>
          <w:p w:rsidR="00FB4857" w:rsidRDefault="00FB4857" w:rsidP="00FB4857">
            <w:pPr>
              <w:pStyle w:val="NoSpacing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The psychodynamic approach: the role of the unconscious, the structure of personality, that is Id, Ego and Superego, defence mechanisms including repression, denial and displacement, psychosexual stages</w:t>
            </w:r>
          </w:p>
        </w:tc>
        <w:tc>
          <w:tcPr>
            <w:tcW w:w="567" w:type="dxa"/>
          </w:tcPr>
          <w:p w:rsidR="00FB4857" w:rsidRDefault="00FB4857"/>
        </w:tc>
        <w:tc>
          <w:tcPr>
            <w:tcW w:w="567" w:type="dxa"/>
          </w:tcPr>
          <w:p w:rsidR="00FB4857" w:rsidRDefault="00FB4857"/>
        </w:tc>
        <w:tc>
          <w:tcPr>
            <w:tcW w:w="487" w:type="dxa"/>
          </w:tcPr>
          <w:p w:rsidR="00FB4857" w:rsidRDefault="00FB4857"/>
        </w:tc>
      </w:tr>
      <w:tr w:rsidR="00FB4857" w:rsidTr="008E5677">
        <w:tc>
          <w:tcPr>
            <w:tcW w:w="7621" w:type="dxa"/>
          </w:tcPr>
          <w:p w:rsidR="00FB4857" w:rsidRPr="00FB4857" w:rsidRDefault="00FB4857" w:rsidP="00FB4857">
            <w:pPr>
              <w:pStyle w:val="NoSpacing"/>
              <w:rPr>
                <w:rFonts w:eastAsia="Times New Roman"/>
                <w:lang w:eastAsia="en-GB"/>
              </w:rPr>
            </w:pPr>
            <w:r w:rsidRPr="00FB4857">
              <w:rPr>
                <w:rFonts w:eastAsia="Times New Roman"/>
                <w:lang w:eastAsia="en-GB"/>
              </w:rPr>
              <w:t>Humanistic Psychology: free will, self-actualisation and Maslow’s hierarchy of needs, focus on the self, congruence, the role of conditions of worth. The influence on counselling Psychology.</w:t>
            </w:r>
          </w:p>
          <w:p w:rsidR="00FB4857" w:rsidRPr="00FB4857" w:rsidRDefault="00FB4857" w:rsidP="00FB4857">
            <w:pPr>
              <w:pStyle w:val="NoSpacing"/>
              <w:rPr>
                <w:rFonts w:eastAsia="Times New Roman"/>
                <w:lang w:eastAsia="en-GB"/>
              </w:rPr>
            </w:pPr>
            <w:r w:rsidRPr="00FB4857">
              <w:rPr>
                <w:rFonts w:eastAsia="Times New Roman"/>
                <w:lang w:eastAsia="en-GB"/>
              </w:rPr>
              <w:t>Comparison of approaches</w:t>
            </w:r>
          </w:p>
        </w:tc>
        <w:tc>
          <w:tcPr>
            <w:tcW w:w="567" w:type="dxa"/>
          </w:tcPr>
          <w:p w:rsidR="00FB4857" w:rsidRDefault="00FB4857"/>
        </w:tc>
        <w:tc>
          <w:tcPr>
            <w:tcW w:w="567" w:type="dxa"/>
          </w:tcPr>
          <w:p w:rsidR="00FB4857" w:rsidRDefault="00FB4857"/>
        </w:tc>
        <w:tc>
          <w:tcPr>
            <w:tcW w:w="487" w:type="dxa"/>
          </w:tcPr>
          <w:p w:rsidR="00FB4857" w:rsidRDefault="00FB4857"/>
        </w:tc>
      </w:tr>
      <w:tr w:rsidR="00FB4857" w:rsidTr="008E5677">
        <w:tc>
          <w:tcPr>
            <w:tcW w:w="7621" w:type="dxa"/>
          </w:tcPr>
          <w:p w:rsidR="00FB4857" w:rsidRPr="00FB4857" w:rsidRDefault="00FB4857" w:rsidP="00FB4857">
            <w:pPr>
              <w:pStyle w:val="NoSpacing"/>
              <w:rPr>
                <w:rFonts w:eastAsia="Times New Roman"/>
                <w:b/>
                <w:lang w:eastAsia="en-GB"/>
              </w:rPr>
            </w:pPr>
            <w:r w:rsidRPr="00FB4857">
              <w:rPr>
                <w:rFonts w:eastAsia="Times New Roman"/>
                <w:b/>
                <w:lang w:eastAsia="en-GB"/>
              </w:rPr>
              <w:t>Biopsychology</w:t>
            </w:r>
          </w:p>
        </w:tc>
        <w:tc>
          <w:tcPr>
            <w:tcW w:w="567" w:type="dxa"/>
          </w:tcPr>
          <w:p w:rsidR="00FB4857" w:rsidRDefault="00FB4857"/>
        </w:tc>
        <w:tc>
          <w:tcPr>
            <w:tcW w:w="567" w:type="dxa"/>
          </w:tcPr>
          <w:p w:rsidR="00FB4857" w:rsidRDefault="00FB4857"/>
        </w:tc>
        <w:tc>
          <w:tcPr>
            <w:tcW w:w="487" w:type="dxa"/>
          </w:tcPr>
          <w:p w:rsidR="00FB4857" w:rsidRDefault="00FB4857"/>
        </w:tc>
      </w:tr>
      <w:tr w:rsidR="00FB4857" w:rsidTr="008E5677">
        <w:tc>
          <w:tcPr>
            <w:tcW w:w="7621" w:type="dxa"/>
          </w:tcPr>
          <w:p w:rsidR="00FB4857" w:rsidRPr="00FB4857" w:rsidRDefault="00FB4857" w:rsidP="00FB4857">
            <w:pPr>
              <w:pStyle w:val="NoSpacing"/>
            </w:pPr>
            <w:r w:rsidRPr="00FB4857">
              <w:t xml:space="preserve">Localisation of function in the brain and hemispheric lateralisation: motor, somatosensory, visual, auditory and language centres; </w:t>
            </w:r>
            <w:proofErr w:type="spellStart"/>
            <w:r w:rsidRPr="00FB4857">
              <w:t>Broca’s</w:t>
            </w:r>
            <w:proofErr w:type="spellEnd"/>
            <w:r w:rsidRPr="00FB4857">
              <w:t xml:space="preserve"> and Wernicke’s areas, split brain research. Plasticity and functional recovery of the brain after trauma</w:t>
            </w:r>
          </w:p>
        </w:tc>
        <w:tc>
          <w:tcPr>
            <w:tcW w:w="567" w:type="dxa"/>
          </w:tcPr>
          <w:p w:rsidR="00FB4857" w:rsidRDefault="00FB4857"/>
        </w:tc>
        <w:tc>
          <w:tcPr>
            <w:tcW w:w="567" w:type="dxa"/>
          </w:tcPr>
          <w:p w:rsidR="00FB4857" w:rsidRDefault="00FB4857"/>
        </w:tc>
        <w:tc>
          <w:tcPr>
            <w:tcW w:w="487" w:type="dxa"/>
          </w:tcPr>
          <w:p w:rsidR="00FB4857" w:rsidRDefault="00FB4857"/>
        </w:tc>
      </w:tr>
      <w:tr w:rsidR="00FB4857" w:rsidTr="008E5677">
        <w:tc>
          <w:tcPr>
            <w:tcW w:w="7621" w:type="dxa"/>
          </w:tcPr>
          <w:p w:rsidR="00FB4857" w:rsidRPr="00FB4857" w:rsidRDefault="00FB4857" w:rsidP="00FB4857">
            <w:pPr>
              <w:pStyle w:val="NoSpacing"/>
            </w:pPr>
            <w:r w:rsidRPr="00FB4857">
              <w:t>Ways of studying the brain: scanning techniques, including functional magnetic resonance imaging (fMRI); electroencephalogram (EEGs) and event-related potentials (ERPs); post-mortem examinations</w:t>
            </w:r>
          </w:p>
        </w:tc>
        <w:tc>
          <w:tcPr>
            <w:tcW w:w="567" w:type="dxa"/>
          </w:tcPr>
          <w:p w:rsidR="00FB4857" w:rsidRDefault="00FB4857"/>
        </w:tc>
        <w:tc>
          <w:tcPr>
            <w:tcW w:w="567" w:type="dxa"/>
          </w:tcPr>
          <w:p w:rsidR="00FB4857" w:rsidRDefault="00FB4857"/>
        </w:tc>
        <w:tc>
          <w:tcPr>
            <w:tcW w:w="487" w:type="dxa"/>
          </w:tcPr>
          <w:p w:rsidR="00FB4857" w:rsidRDefault="00FB4857"/>
        </w:tc>
      </w:tr>
      <w:tr w:rsidR="00FB4857" w:rsidTr="008E5677">
        <w:tc>
          <w:tcPr>
            <w:tcW w:w="7621" w:type="dxa"/>
          </w:tcPr>
          <w:p w:rsidR="00FB4857" w:rsidRPr="00FB4857" w:rsidRDefault="00FB4857" w:rsidP="00FB4857">
            <w:pPr>
              <w:pStyle w:val="NoSpacing"/>
            </w:pPr>
            <w:r w:rsidRPr="00FB4857">
              <w:t xml:space="preserve">Biological rhythms: circadian, </w:t>
            </w:r>
            <w:proofErr w:type="spellStart"/>
            <w:r w:rsidRPr="00FB4857">
              <w:t>infradian</w:t>
            </w:r>
            <w:proofErr w:type="spellEnd"/>
            <w:r w:rsidRPr="00FB4857">
              <w:t xml:space="preserve"> and </w:t>
            </w:r>
            <w:proofErr w:type="spellStart"/>
            <w:r w:rsidRPr="00FB4857">
              <w:t>ultradian</w:t>
            </w:r>
            <w:proofErr w:type="spellEnd"/>
            <w:r w:rsidRPr="00FB4857">
              <w:t xml:space="preserve"> and the difference between these rhythms. The effect of endogenous pacemakers and exogenous </w:t>
            </w:r>
            <w:proofErr w:type="spellStart"/>
            <w:r w:rsidRPr="00FB4857">
              <w:t>zeitgebers</w:t>
            </w:r>
            <w:proofErr w:type="spellEnd"/>
            <w:r w:rsidRPr="00FB4857">
              <w:t xml:space="preserve"> on the sleep/wake cycle</w:t>
            </w:r>
          </w:p>
        </w:tc>
        <w:tc>
          <w:tcPr>
            <w:tcW w:w="567" w:type="dxa"/>
          </w:tcPr>
          <w:p w:rsidR="00FB4857" w:rsidRDefault="00FB4857"/>
        </w:tc>
        <w:tc>
          <w:tcPr>
            <w:tcW w:w="567" w:type="dxa"/>
          </w:tcPr>
          <w:p w:rsidR="00FB4857" w:rsidRDefault="00FB4857"/>
        </w:tc>
        <w:tc>
          <w:tcPr>
            <w:tcW w:w="487" w:type="dxa"/>
          </w:tcPr>
          <w:p w:rsidR="00FB4857" w:rsidRDefault="00FB4857"/>
        </w:tc>
      </w:tr>
      <w:tr w:rsidR="00FB4857" w:rsidTr="008E5677">
        <w:tc>
          <w:tcPr>
            <w:tcW w:w="7621" w:type="dxa"/>
          </w:tcPr>
          <w:p w:rsidR="00FB4857" w:rsidRPr="00FB4857" w:rsidRDefault="004F57FE" w:rsidP="00FB4857">
            <w:pPr>
              <w:pStyle w:val="NoSpacing"/>
              <w:rPr>
                <w:rFonts w:eastAsia="Times New Roman"/>
                <w:b/>
                <w:lang w:eastAsia="en-GB"/>
              </w:rPr>
            </w:pPr>
            <w:r>
              <w:rPr>
                <w:rFonts w:eastAsia="Times New Roman"/>
                <w:b/>
                <w:lang w:eastAsia="en-GB"/>
              </w:rPr>
              <w:t>Research methods</w:t>
            </w:r>
          </w:p>
        </w:tc>
        <w:tc>
          <w:tcPr>
            <w:tcW w:w="567" w:type="dxa"/>
          </w:tcPr>
          <w:p w:rsidR="00FB4857" w:rsidRDefault="00FB4857"/>
        </w:tc>
        <w:tc>
          <w:tcPr>
            <w:tcW w:w="567" w:type="dxa"/>
          </w:tcPr>
          <w:p w:rsidR="00FB4857" w:rsidRDefault="00FB4857"/>
        </w:tc>
        <w:tc>
          <w:tcPr>
            <w:tcW w:w="487" w:type="dxa"/>
          </w:tcPr>
          <w:p w:rsidR="00FB4857" w:rsidRDefault="00FB4857"/>
        </w:tc>
      </w:tr>
      <w:tr w:rsidR="004F57FE" w:rsidTr="008E5677">
        <w:tc>
          <w:tcPr>
            <w:tcW w:w="7621" w:type="dxa"/>
          </w:tcPr>
          <w:p w:rsidR="004F57FE" w:rsidRPr="004F57FE" w:rsidRDefault="004F57FE" w:rsidP="004F57FE">
            <w:pPr>
              <w:pStyle w:val="NoSpacing"/>
              <w:rPr>
                <w:lang w:eastAsia="en-GB"/>
              </w:rPr>
            </w:pPr>
            <w:r w:rsidRPr="004F57FE">
              <w:rPr>
                <w:lang w:eastAsia="en-GB"/>
              </w:rPr>
              <w:t>Content analysis.</w:t>
            </w:r>
          </w:p>
        </w:tc>
        <w:tc>
          <w:tcPr>
            <w:tcW w:w="567" w:type="dxa"/>
          </w:tcPr>
          <w:p w:rsidR="004F57FE" w:rsidRDefault="004F57FE"/>
        </w:tc>
        <w:tc>
          <w:tcPr>
            <w:tcW w:w="567" w:type="dxa"/>
          </w:tcPr>
          <w:p w:rsidR="004F57FE" w:rsidRDefault="004F57FE"/>
        </w:tc>
        <w:tc>
          <w:tcPr>
            <w:tcW w:w="487" w:type="dxa"/>
          </w:tcPr>
          <w:p w:rsidR="004F57FE" w:rsidRDefault="004F57FE"/>
        </w:tc>
      </w:tr>
      <w:tr w:rsidR="004F57FE" w:rsidTr="008E5677">
        <w:tc>
          <w:tcPr>
            <w:tcW w:w="7621" w:type="dxa"/>
          </w:tcPr>
          <w:p w:rsidR="004F57FE" w:rsidRDefault="004F57FE" w:rsidP="004F57FE">
            <w:pPr>
              <w:pStyle w:val="NoSpacing"/>
              <w:rPr>
                <w:b/>
                <w:lang w:eastAsia="en-GB"/>
              </w:rPr>
            </w:pPr>
            <w:r>
              <w:rPr>
                <w:shd w:val="clear" w:color="auto" w:fill="FFFFFF"/>
              </w:rPr>
              <w:t>Case studies</w:t>
            </w:r>
          </w:p>
        </w:tc>
        <w:tc>
          <w:tcPr>
            <w:tcW w:w="567" w:type="dxa"/>
          </w:tcPr>
          <w:p w:rsidR="004F57FE" w:rsidRDefault="004F57FE"/>
        </w:tc>
        <w:tc>
          <w:tcPr>
            <w:tcW w:w="567" w:type="dxa"/>
          </w:tcPr>
          <w:p w:rsidR="004F57FE" w:rsidRDefault="004F57FE"/>
        </w:tc>
        <w:tc>
          <w:tcPr>
            <w:tcW w:w="487" w:type="dxa"/>
          </w:tcPr>
          <w:p w:rsidR="004F57FE" w:rsidRDefault="004F57FE"/>
        </w:tc>
      </w:tr>
      <w:tr w:rsidR="004F57FE" w:rsidTr="008E5677">
        <w:tc>
          <w:tcPr>
            <w:tcW w:w="7621" w:type="dxa"/>
          </w:tcPr>
          <w:p w:rsidR="004F57FE" w:rsidRPr="004F57FE" w:rsidRDefault="004F57FE" w:rsidP="004F57FE">
            <w:pPr>
              <w:pStyle w:val="NoSpacing"/>
              <w:rPr>
                <w:lang w:eastAsia="en-GB"/>
              </w:rPr>
            </w:pPr>
            <w:r w:rsidRPr="004F57FE">
              <w:rPr>
                <w:lang w:eastAsia="en-GB"/>
              </w:rPr>
              <w:t>Reliability across all methods of investigation. Ways of assessing reliability: test-retest and inter-observer; improving reliability.</w:t>
            </w:r>
          </w:p>
        </w:tc>
        <w:tc>
          <w:tcPr>
            <w:tcW w:w="567" w:type="dxa"/>
          </w:tcPr>
          <w:p w:rsidR="004F57FE" w:rsidRDefault="004F57FE"/>
        </w:tc>
        <w:tc>
          <w:tcPr>
            <w:tcW w:w="567" w:type="dxa"/>
          </w:tcPr>
          <w:p w:rsidR="004F57FE" w:rsidRDefault="004F57FE"/>
        </w:tc>
        <w:tc>
          <w:tcPr>
            <w:tcW w:w="487" w:type="dxa"/>
          </w:tcPr>
          <w:p w:rsidR="004F57FE" w:rsidRDefault="004F57FE"/>
        </w:tc>
      </w:tr>
      <w:tr w:rsidR="004F57FE" w:rsidTr="008E5677">
        <w:tc>
          <w:tcPr>
            <w:tcW w:w="7621" w:type="dxa"/>
          </w:tcPr>
          <w:p w:rsidR="004F57FE" w:rsidRPr="004F57FE" w:rsidRDefault="004F57FE" w:rsidP="004F57FE">
            <w:pPr>
              <w:pStyle w:val="NoSpacing"/>
              <w:rPr>
                <w:lang w:eastAsia="en-GB"/>
              </w:rPr>
            </w:pPr>
            <w:r>
              <w:rPr>
                <w:shd w:val="clear" w:color="auto" w:fill="FFFFFF"/>
              </w:rPr>
              <w:t>Types of validity across all methods of investigation: face validity, concurrent validity, ecological validity and temporal validity. Assessment of validity. Improving validity</w:t>
            </w:r>
          </w:p>
        </w:tc>
        <w:tc>
          <w:tcPr>
            <w:tcW w:w="567" w:type="dxa"/>
          </w:tcPr>
          <w:p w:rsidR="004F57FE" w:rsidRDefault="004F57FE"/>
        </w:tc>
        <w:tc>
          <w:tcPr>
            <w:tcW w:w="567" w:type="dxa"/>
          </w:tcPr>
          <w:p w:rsidR="004F57FE" w:rsidRDefault="004F57FE"/>
        </w:tc>
        <w:tc>
          <w:tcPr>
            <w:tcW w:w="487" w:type="dxa"/>
          </w:tcPr>
          <w:p w:rsidR="004F57FE" w:rsidRDefault="004F57FE"/>
        </w:tc>
      </w:tr>
      <w:tr w:rsidR="004F57FE" w:rsidTr="008E5677">
        <w:tc>
          <w:tcPr>
            <w:tcW w:w="7621" w:type="dxa"/>
          </w:tcPr>
          <w:p w:rsidR="004F57FE" w:rsidRDefault="004F57FE" w:rsidP="004F57FE">
            <w:pPr>
              <w:pStyle w:val="NoSpacing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Features of science: objectivity and the empirical method; replicability and falsifiability; theory construction and hypothesis testing; paradigms and paradigm shifts</w:t>
            </w:r>
          </w:p>
        </w:tc>
        <w:tc>
          <w:tcPr>
            <w:tcW w:w="567" w:type="dxa"/>
          </w:tcPr>
          <w:p w:rsidR="004F57FE" w:rsidRDefault="004F57FE"/>
        </w:tc>
        <w:tc>
          <w:tcPr>
            <w:tcW w:w="567" w:type="dxa"/>
          </w:tcPr>
          <w:p w:rsidR="004F57FE" w:rsidRDefault="004F57FE"/>
        </w:tc>
        <w:tc>
          <w:tcPr>
            <w:tcW w:w="487" w:type="dxa"/>
          </w:tcPr>
          <w:p w:rsidR="004F57FE" w:rsidRDefault="004F57FE"/>
        </w:tc>
      </w:tr>
      <w:tr w:rsidR="004F57FE" w:rsidTr="008E5677">
        <w:tc>
          <w:tcPr>
            <w:tcW w:w="7621" w:type="dxa"/>
          </w:tcPr>
          <w:p w:rsidR="004F57FE" w:rsidRPr="004F57FE" w:rsidRDefault="004F57FE" w:rsidP="004F57FE">
            <w:pPr>
              <w:pStyle w:val="NoSpacing"/>
              <w:rPr>
                <w:lang w:eastAsia="en-GB"/>
              </w:rPr>
            </w:pPr>
            <w:r w:rsidRPr="004F57FE">
              <w:rPr>
                <w:lang w:eastAsia="en-GB"/>
              </w:rPr>
              <w:t>Reporting psychological investigations. Sections of a scientific report: abstract, introduction, method, results, discussion and referencing.</w:t>
            </w:r>
          </w:p>
        </w:tc>
        <w:tc>
          <w:tcPr>
            <w:tcW w:w="567" w:type="dxa"/>
          </w:tcPr>
          <w:p w:rsidR="004F57FE" w:rsidRDefault="004F57FE"/>
        </w:tc>
        <w:tc>
          <w:tcPr>
            <w:tcW w:w="567" w:type="dxa"/>
          </w:tcPr>
          <w:p w:rsidR="004F57FE" w:rsidRDefault="004F57FE"/>
        </w:tc>
        <w:tc>
          <w:tcPr>
            <w:tcW w:w="487" w:type="dxa"/>
          </w:tcPr>
          <w:p w:rsidR="004F57FE" w:rsidRDefault="004F57FE"/>
        </w:tc>
      </w:tr>
      <w:tr w:rsidR="004F57FE" w:rsidTr="008E5677">
        <w:tc>
          <w:tcPr>
            <w:tcW w:w="7621" w:type="dxa"/>
          </w:tcPr>
          <w:p w:rsidR="004F57FE" w:rsidRPr="004F57FE" w:rsidRDefault="004F57FE" w:rsidP="004F57FE">
            <w:pPr>
              <w:pStyle w:val="NoSpacing"/>
              <w:rPr>
                <w:lang w:eastAsia="en-GB"/>
              </w:rPr>
            </w:pPr>
            <w:r>
              <w:rPr>
                <w:shd w:val="clear" w:color="auto" w:fill="FFFFFF"/>
              </w:rPr>
              <w:t>Analysis and interpretation of correlation, including correlation coefficients</w:t>
            </w:r>
          </w:p>
        </w:tc>
        <w:tc>
          <w:tcPr>
            <w:tcW w:w="567" w:type="dxa"/>
          </w:tcPr>
          <w:p w:rsidR="004F57FE" w:rsidRDefault="004F57FE"/>
        </w:tc>
        <w:tc>
          <w:tcPr>
            <w:tcW w:w="567" w:type="dxa"/>
          </w:tcPr>
          <w:p w:rsidR="004F57FE" w:rsidRDefault="004F57FE"/>
        </w:tc>
        <w:tc>
          <w:tcPr>
            <w:tcW w:w="487" w:type="dxa"/>
          </w:tcPr>
          <w:p w:rsidR="004F57FE" w:rsidRDefault="004F57FE"/>
        </w:tc>
      </w:tr>
      <w:tr w:rsidR="004F57FE" w:rsidTr="008E5677">
        <w:tc>
          <w:tcPr>
            <w:tcW w:w="7621" w:type="dxa"/>
          </w:tcPr>
          <w:p w:rsidR="004F57FE" w:rsidRPr="004F57FE" w:rsidRDefault="004F57FE" w:rsidP="004F57FE">
            <w:pPr>
              <w:pStyle w:val="NoSpacing"/>
              <w:rPr>
                <w:rFonts w:eastAsia="Times New Roman"/>
                <w:lang w:eastAsia="en-GB"/>
              </w:rPr>
            </w:pPr>
            <w:r w:rsidRPr="004F57FE">
              <w:rPr>
                <w:rFonts w:eastAsia="Times New Roman"/>
                <w:lang w:eastAsia="en-GB"/>
              </w:rPr>
              <w:t>Levels of measurement: nominal, ordinal and interval.</w:t>
            </w:r>
          </w:p>
        </w:tc>
        <w:tc>
          <w:tcPr>
            <w:tcW w:w="567" w:type="dxa"/>
          </w:tcPr>
          <w:p w:rsidR="004F57FE" w:rsidRDefault="004F57FE"/>
        </w:tc>
        <w:tc>
          <w:tcPr>
            <w:tcW w:w="567" w:type="dxa"/>
          </w:tcPr>
          <w:p w:rsidR="004F57FE" w:rsidRDefault="004F57FE"/>
        </w:tc>
        <w:tc>
          <w:tcPr>
            <w:tcW w:w="487" w:type="dxa"/>
          </w:tcPr>
          <w:p w:rsidR="004F57FE" w:rsidRDefault="004F57FE"/>
        </w:tc>
      </w:tr>
      <w:tr w:rsidR="004F57FE" w:rsidTr="008E5677">
        <w:tc>
          <w:tcPr>
            <w:tcW w:w="7621" w:type="dxa"/>
          </w:tcPr>
          <w:p w:rsidR="004F57FE" w:rsidRPr="004F57FE" w:rsidRDefault="004F57FE" w:rsidP="004F57FE">
            <w:pPr>
              <w:pStyle w:val="NoSpacing"/>
              <w:rPr>
                <w:rFonts w:eastAsia="Times New Roman"/>
                <w:lang w:eastAsia="en-GB"/>
              </w:rPr>
            </w:pPr>
            <w:r>
              <w:rPr>
                <w:shd w:val="clear" w:color="auto" w:fill="FFFFFF"/>
              </w:rPr>
              <w:t>Content analysis and coding. Thematic analysis</w:t>
            </w:r>
          </w:p>
        </w:tc>
        <w:tc>
          <w:tcPr>
            <w:tcW w:w="567" w:type="dxa"/>
          </w:tcPr>
          <w:p w:rsidR="004F57FE" w:rsidRDefault="004F57FE"/>
        </w:tc>
        <w:tc>
          <w:tcPr>
            <w:tcW w:w="567" w:type="dxa"/>
          </w:tcPr>
          <w:p w:rsidR="004F57FE" w:rsidRDefault="004F57FE"/>
        </w:tc>
        <w:tc>
          <w:tcPr>
            <w:tcW w:w="487" w:type="dxa"/>
          </w:tcPr>
          <w:p w:rsidR="004F57FE" w:rsidRDefault="004F57FE"/>
        </w:tc>
      </w:tr>
      <w:tr w:rsidR="0031378B" w:rsidTr="008E5677">
        <w:tc>
          <w:tcPr>
            <w:tcW w:w="7621" w:type="dxa"/>
          </w:tcPr>
          <w:p w:rsidR="0031378B" w:rsidRPr="0031378B" w:rsidRDefault="0031378B" w:rsidP="0031378B">
            <w:pPr>
              <w:pStyle w:val="NoSpacing"/>
              <w:rPr>
                <w:lang w:eastAsia="en-GB"/>
              </w:rPr>
            </w:pPr>
            <w:r w:rsidRPr="0031378B">
              <w:rPr>
                <w:lang w:eastAsia="en-GB"/>
              </w:rPr>
              <w:t>Probability and significance: use of statistical tables and critical values in interpretation of significance; Type I and Type II errors.</w:t>
            </w:r>
          </w:p>
        </w:tc>
        <w:tc>
          <w:tcPr>
            <w:tcW w:w="567" w:type="dxa"/>
          </w:tcPr>
          <w:p w:rsidR="0031378B" w:rsidRDefault="0031378B"/>
        </w:tc>
        <w:tc>
          <w:tcPr>
            <w:tcW w:w="567" w:type="dxa"/>
          </w:tcPr>
          <w:p w:rsidR="0031378B" w:rsidRDefault="0031378B"/>
        </w:tc>
        <w:tc>
          <w:tcPr>
            <w:tcW w:w="487" w:type="dxa"/>
          </w:tcPr>
          <w:p w:rsidR="0031378B" w:rsidRDefault="0031378B"/>
        </w:tc>
      </w:tr>
      <w:tr w:rsidR="0031378B" w:rsidTr="008E5677">
        <w:tc>
          <w:tcPr>
            <w:tcW w:w="7621" w:type="dxa"/>
          </w:tcPr>
          <w:p w:rsidR="0031378B" w:rsidRPr="0031378B" w:rsidRDefault="0031378B" w:rsidP="0031378B">
            <w:pPr>
              <w:pStyle w:val="NoSpacing"/>
              <w:rPr>
                <w:lang w:eastAsia="en-GB"/>
              </w:rPr>
            </w:pPr>
            <w:r>
              <w:rPr>
                <w:shd w:val="clear" w:color="auto" w:fill="FFFFFF"/>
              </w:rPr>
              <w:t>Factors affecting the choice of statistical test, including level of measurement and experimental design. When to use the following tests: Spearman’s rho, Pearson’s r, Wilcoxon, Mann-Whitney, related t-test, unrelated t-test and Chi-Squared test</w:t>
            </w:r>
          </w:p>
        </w:tc>
        <w:tc>
          <w:tcPr>
            <w:tcW w:w="567" w:type="dxa"/>
          </w:tcPr>
          <w:p w:rsidR="0031378B" w:rsidRDefault="0031378B"/>
        </w:tc>
        <w:tc>
          <w:tcPr>
            <w:tcW w:w="567" w:type="dxa"/>
          </w:tcPr>
          <w:p w:rsidR="0031378B" w:rsidRDefault="0031378B"/>
        </w:tc>
        <w:tc>
          <w:tcPr>
            <w:tcW w:w="487" w:type="dxa"/>
          </w:tcPr>
          <w:p w:rsidR="0031378B" w:rsidRDefault="0031378B"/>
        </w:tc>
      </w:tr>
    </w:tbl>
    <w:p w:rsidR="002B124E" w:rsidRDefault="002B124E"/>
    <w:sectPr w:rsidR="002B12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66836"/>
    <w:multiLevelType w:val="multilevel"/>
    <w:tmpl w:val="437EB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D83D3F"/>
    <w:multiLevelType w:val="multilevel"/>
    <w:tmpl w:val="CE729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7D684A"/>
    <w:multiLevelType w:val="multilevel"/>
    <w:tmpl w:val="53625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785A6A"/>
    <w:multiLevelType w:val="multilevel"/>
    <w:tmpl w:val="A282C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033739"/>
    <w:multiLevelType w:val="multilevel"/>
    <w:tmpl w:val="96C23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B55C7C"/>
    <w:multiLevelType w:val="multilevel"/>
    <w:tmpl w:val="6FE40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A04569"/>
    <w:multiLevelType w:val="multilevel"/>
    <w:tmpl w:val="403CC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D841B5"/>
    <w:multiLevelType w:val="multilevel"/>
    <w:tmpl w:val="08A64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D5F470F"/>
    <w:multiLevelType w:val="multilevel"/>
    <w:tmpl w:val="8D0C6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E8D72D8"/>
    <w:multiLevelType w:val="multilevel"/>
    <w:tmpl w:val="2E223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3EE5002"/>
    <w:multiLevelType w:val="multilevel"/>
    <w:tmpl w:val="663EB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D2B2135"/>
    <w:multiLevelType w:val="multilevel"/>
    <w:tmpl w:val="6908F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11"/>
  </w:num>
  <w:num w:numId="5">
    <w:abstractNumId w:val="3"/>
  </w:num>
  <w:num w:numId="6">
    <w:abstractNumId w:val="1"/>
  </w:num>
  <w:num w:numId="7">
    <w:abstractNumId w:val="7"/>
  </w:num>
  <w:num w:numId="8">
    <w:abstractNumId w:val="5"/>
  </w:num>
  <w:num w:numId="9">
    <w:abstractNumId w:val="2"/>
  </w:num>
  <w:num w:numId="10">
    <w:abstractNumId w:val="0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677"/>
    <w:rsid w:val="002B124E"/>
    <w:rsid w:val="0031378B"/>
    <w:rsid w:val="004F57FE"/>
    <w:rsid w:val="00692AF7"/>
    <w:rsid w:val="006B2C19"/>
    <w:rsid w:val="008E5677"/>
    <w:rsid w:val="00FB4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56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E567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56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E56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63DE0A2D</Template>
  <TotalTime>13</TotalTime>
  <Pages>2</Pages>
  <Words>908</Words>
  <Characters>5181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6077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Tilley</dc:creator>
  <cp:lastModifiedBy>Tilley</cp:lastModifiedBy>
  <cp:revision>6</cp:revision>
  <dcterms:created xsi:type="dcterms:W3CDTF">2016-11-15T16:50:00Z</dcterms:created>
  <dcterms:modified xsi:type="dcterms:W3CDTF">2017-09-06T13:42:00Z</dcterms:modified>
</cp:coreProperties>
</file>